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63 vom 12. August 2021</w:t>
      </w:r>
    </w:p>
    <w:p>
      <w:r>
        <w:t>VS Kantonsgericht, 2021-08-12, DE</w:t>
      </w:r>
    </w:p>
    <w:p>
      <w:r>
        <w:rPr>
          <w:b/>
        </w:rPr>
        <w:t xml:space="preserve">Quelle: </w:t>
      </w:r>
      <w:r>
        <w:t>https://mcp.opencaselaw.ch/entscheid/vs_gerichte_S1 21 63</w:t>
      </w:r>
    </w:p>
    <w:p>
      <w:r>
        <w:t>FR: VS_GERICHTE S1 21 63 du 12 août 2021</w:t>
      </w:r>
    </w:p>
    <w:p>
      <w:r>
        <w:t>IT: VS_GERICHTE S1 21 63 del 12 agosto 2021</w:t>
      </w:r>
    </w:p>
    <w:p>
      <w:pPr>
        <w:pStyle w:val="Heading2"/>
      </w:pPr>
      <w:r>
        <w:t>Regeste</w:t>
      </w:r>
    </w:p>
    <w:p>
      <w:r>
        <w:t>S1 21 63 URTEIL VOM 12. AUGUST 2021 Kantonsgericht Wallis Sozialversicherungsrechtliche Abteilung Besetzung: Dr. Thierry Schnyder, Präsident; Eve-Marie Dayer-Schmid und Thomas Brunner, Kantonsrichter; Petra Stoffel, Gerichtsschreiberin in Sachen X _________, Beschwerdeführer gegen Y _________ ARBEITSLOSENKASSE, Beschwerdegegnerin (Art. 28 AVIG / Rückforderung / Leistungsanspruch) Beschwerde gegen den Entscheid vom 9. Februar 2021</w:t>
      </w:r>
    </w:p>
    <w:p>
      <w:pPr>
        <w:pStyle w:val="Heading2"/>
      </w:pPr>
      <w:r>
        <w:t>Erwägungen</w:t>
      </w:r>
    </w:p>
    <w:p>
      <w:r>
        <w:rPr>
          <w:b/>
        </w:rPr>
        <w:t>E. 1.1</w:t>
      </w:r>
    </w:p>
    <w:p>
      <w:r>
        <w:t>Gemäss Art. 1 Abs. 1 des Bundesgesetzes über die obligatorische Arbeitslosenver- sicherung und die Insolvenzentschädigung vom 25. Juni 1982 (Arbeitslosengesetz, AVIG) sind die Bestimmungen des Bundesgesetzes über den allgemeinen Teil des So- zialversicherungsrechts vom 6. Oktober 2000 (ATSG) auf das AVIG anwendbar, soweit dieses nicht ausdrücklich etwas anderes bestimmt. Gemäss Art. 56 Abs. 1 ATSG kann gegen Einspracheentscheide innert einer Frist von 30 Tagen nach deren Eröffnung Beschwerde bei einem vom Kanton bestellten Versiche- rungsgericht eingereicht werden (Art. 57 ATSG und Art. 60 ATSG). Die am 1. März 2021 eingereichte Beschwerde erfolgte fristgerecht.</w:t>
      </w:r>
    </w:p>
    <w:p>
      <w:r>
        <w:rPr>
          <w:b/>
        </w:rPr>
        <w:t>E. 1.2</w:t>
      </w:r>
    </w:p>
    <w:p>
      <w:r>
        <w:t>Der Beschwerdeführer hat seinen Wohnsitz im Kanton Wallis. Die sachliche und örtliche Zuständigkeit der angerufenen Sozialversicherungsrechtlichen Abteilung des</w:t>
      </w:r>
    </w:p>
    <w:p>
      <w:r>
        <w:t>- 7 - Kantonsgerichts ist somit gegeben (Art. 100 Abs. 3 AVIG i.V.m. Art. 128 und Art. 119 Abs. 1 lit. a und Abs. 2 der Verordnung über die obligatorische Arbeitslosenversicherung und die Insolvenzentschädigung vom 31. August 1983 [AVIV]; Art. 7 Abs. 2 des Geset- zes über die Rechtspflege vom 11. Februar 2009 [RPflG], Art. 1 Abs. 2 des Verfahrens- reglements des kantonalen Versicherungsgerichts vom 2. Oktober 2001 [RVG] und Art. 81a Abs. 1 des Gesetzes über das Verwaltungsverfahren und die Verwaltungsrechts- pflege vom 6. Oktober 1976 [VVRG]). Der Beschwerdeführer ist von der Verfügung bzw. dem Einspracheentscheid der Beschwerdegegnerin berührt (Art. 59 ATSG) und hat ein schutzwürdiges Interesse an dessen Aufhebung oder Änderung. Er ist somit zur Be- schwerde legitimiert. Auf die fristgerecht und den formalen Anforderungen entspre- chende Beschwerde kann eingetreten werden.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Anfechtungsobjekt im vorliegenden Beschwerdeverfahren bildet der Einspracheent- scheid der Beschwerdegegnerin vom 9. Februar 2021. Streitig sind die Abrechnungen der Monate Juli, August und September 2020 und der in diesem Sinne geltend gemachte Rückforderungsanspruch. Der Beschwerdeführer rügt eine Verletzung des Vertrauens- prinzips.</w:t>
      </w:r>
    </w:p>
    <w:p>
      <w:r>
        <w:rPr>
          <w:b/>
        </w:rPr>
        <w:t>E. 3.1.1</w:t>
      </w:r>
    </w:p>
    <w:p>
      <w:r>
        <w:t>Vorweg ist der Einwand des Beschwerdeführers hinsichtlich der Informations- oder Beratungspflicht der Kasse zu prüfen. Nach Art. 27 Abs. 2 ATSG besteht ein individuelles Recht auf Beratung durch den zuständigen Versicherungsträger. Jede versicherte Per- son kann vom Versicherungsträger im konkreten Einzelfall eine unentgeltliche Beratung über ihre Rechte und Pflichten verlangen. Der Versicherungsträger hat die versicherte Person darauf aufmerksam zu machen, dass ihr Verhalten eine der Voraussetzungen des Leistungsanspruches gefährden kann (BGE 131 V 472 E. 4 und 5 mit zahlreichen</w:t>
      </w:r>
    </w:p>
    <w:p>
      <w:r>
        <w:t>- 8 - Verweisen auf die Grundlagen zum ATSG und die Rechtsprechung, vgl. auch Bundes- gerichtsurteil C 9/07 vom 7. August 2007). Sinn und Zweck der in Art. 27 Abs. 2 ATSG statuierten Beratungspflicht ist es, ein Verhalten zu ermöglichen, welches zum Eintritt einer den gesetzgeberischen Zielen des betreffenden Erlasses entsprechenden Rechts- folge führt (Bundesgerichtsurteil C 240/04 vom 1. Dezember 2005 E. 2.2.5). Die recht- sprechungsgemässe Gleichstellung von pflichtwidrig unterbliebener Beratung und un- richtiger Auskunftserteilung gilt auch nach der Regelung der Beratungspflicht gemäss ATSG. Demgemäss finden die aus dem Grundsatz von Treu und Glauben abgeleiteten Voraussetzungen, welche bei unrichtiger Auskunftserteilung eine vom materiellen Recht abweichende Behandlung des Rechtsuchenden gebieten, auf die entgegen gesetzlicher Vorschrift unterbliebene Auskunft analoge Anwendung (Bundesgerichtsurteil C 138/05 vom 3. Juli 2006 E. 1.1). Begeht die Verwaltung eine Unterlassung ihrer Informations- pflicht, kann sich der Versicherte bei Rückforderung von zu Unrecht erhaltenen Arbeits- losengeldern auf den Vertrauensschutz berufen. Gegenstand und Umfang der Aufklä- rungs- und Beratungspflicht werden somit durch den Grundsatz von Treu und Glauben beschränkt, was bedeutet, dass die Behörde nach pflichtgemäss durchgeführtem Bera- tungsgespräch erkennbaren Anlass haben muss, um über den fraglichen Punkt aufzu- klären. Es besteht hingegen keine voraussetzungslose, spontane Aufklärungspflicht der Versicherungsträger bezüglich aller möglichen Eventualitäten. Dem Versicherungsträger kann somit keine Verletzung seiner Auskunfts- und Beratungspflicht angelastet werden, wenn Anhaltspunkte auf den Leistungsanspruch allenfalls gefährdende Dispositionen fehlen (Bundesgerichtsurteil C 80/06 vom 3. Juli 2006 E. 4.2). Eine ungenügende oder fehlende Wahrnehmung der Beratungspflicht nach Art. 27 Abs. 2 ATSG kommt, gemäss konstanter und unter der Herrschaft des ATSG weiter geltenden Rechtsprechung, einer falsch erteilten Auskunft des Versicherungsträgers gleich (Bundesgerichtsurteile C 159/06 vom 7. März 2007 E. 2.3.1 und E. 2.3.2 und 8C_438/2018 vom 10. August 2018). Solange der Versicherungsträger bei einem durchschnittlichen Mass an Aufmerksamkeit nicht erkennen kann, dass die Situation einer versicherten Person den Leistungsan- spruch zu gefährden vermag, trifft ihn keine Aufklärungs- und Beratungspflicht im Sinne von Art. 27 ATSG (BGE 133 V 249 E. 7.2).</w:t>
      </w:r>
    </w:p>
    <w:p>
      <w:r>
        <w:rPr>
          <w:b/>
        </w:rPr>
        <w:t>E. 3.1.2</w:t>
      </w:r>
    </w:p>
    <w:p>
      <w:r>
        <w:t>Unstrittig ist, dass der Beschwerdeführer durch die Beschwerdegegnerin am 18. Februar 2019 schriftlich über die Anspruchsvoraussetzungen im Krankheitsfall hin- gewiesen worden war. Damit kam die Beschwerdegegnerin ihrer Beratungspflicht genü- gend nach. Danach hatte sich der Beschwerdeführer mehrfach per Mails an diese ge-</w:t>
      </w:r>
    </w:p>
    <w:p>
      <w:r>
        <w:t>- 9 - wandt. Er stand auch in regem Austausch mit seinem Krankentaggeldversicherer. Ent- gegen der Ansicht des Beschwerdeführers bemühte sich die Beschwerdegegnerin da- rum, ihm eine entsprechende Antwort zu erteilen. Jedenfalls weisen die hinterlegten Ant- wortmailschreiben darauf hin, dass die Beschwerdegegnerin ihn auf die ausstehenden Abrechnungen des Taggeldversicherers – die verzögert, wie vom Beschwerdeführer sel- ber festgehalten, eintrafen – sowie des Arbeitgebers hinwies und eine Antwort nach Er- halt dieser Akten deutlich machte. Nicht der Beschwerdegegnerin angelastet werden kann, wenn in casu der Beschwerde- führer den Hinweis auf die Anrechnung bzw. Berücksichtigung der Leistungen des Kran- kentaggeldversicherers mit dem Beginn der 30 tägigen Frist gleichsetzte. Diesbezüglich scheint sich allein der Beschwerdeführer geirrt zu haben. Die Beschwerdegegnerin je- denfalls war ihrer Aufklärungspflicht genügend nachgekommen. Selbst wenn eine fal- sche oder irreführende Auskunft erteilt worden wäre, vermochte der Beschwerdeführer in casu nicht überzeugend darzutun, dass er bei entsprechender behördlicher Auskunft in dem Sinne anders disponiert hätte. Das Vorliegen einer Arbeitsunfähigkeit konnte je- denfalls nur durch einen Arzt attestiert werden. Falls die Arbeitsunfähigkeit nicht im da- maligen Ausmass vorhanden gewesen wäre, dass ein Tagesklinikeinsatz angezeigt ge- wesen wäre, müsste dies einzig ihm oder seinem Hausarzt angelastet werden. Mithin erweist sich auch dieser Einwand des Beschwerdeführers als unbegründet. Nichts zu seinen Gunsten abzuleiten vermag der Beschwerdeführer schliesslich, wenn er angibt, er sei telefonisch falsch informiert worden, zumal diesbezüglich keine Beweise in den Akten vorliegen. Jedenfalls lässt sich diesen nicht entnehmen, die Beschwerde- gegnerin hätte ihm gegenüber dargelegt, die 30-tägige Frist beginne erst nach Ablauf der Auszahlungen der Taggelder des Krankenversicherers. Dasselbe gilt für die erste Abrechnung und die Auszahlung für den Monat August 2020, zumal die Beschwerde- gegnerin stets darauf hinwies, sie leiste ihre Zahlung nur in Berücksichtigung der Leis- tungen des Krankentaggeldversicherers und im Rahmen der gesetzlichen Anforderun- gen.</w:t>
      </w:r>
    </w:p>
    <w:p>
      <w:r>
        <w:rPr>
          <w:b/>
        </w:rPr>
        <w:t>E. 3.2.1</w:t>
      </w:r>
    </w:p>
    <w:p>
      <w:r>
        <w:t>Hinsichtlich der materiell-rechtlichen Situation gilt Folgendes: Grundsätzlich hat ein Versicherter nur dann Anspruch auf Arbeitslosenentschädigung, wenn er sämtliche Voraussetzungen des Art. 8 Abs. 1 AVIG erfüllt und unter anderem vermittlungsfähig ist (Art. 8 Abs. 2 lit. f). Art. 28 Abs. 1 AVIG weicht vom Grundprinzip der Arbeitslosenversi- cherung ab, wonach Leistungen nur bei Vermittlungsfähigkeit der versicherten Person in</w:t>
      </w:r>
    </w:p>
    <w:p>
      <w:r>
        <w:t>- 10 - Betracht kommen (BGE 117 V 244 E. 3c S. 246 f.), und erfasst - im Unterschied zu Art. 15 Abs. 2 Satz 1 AVIG - Fälle bloss vorübergehend fehlender oder verminderter Arbeits- fähigkeit (BGE 126 V 124 E. 3b S. 127; G. Gerhards, Kommentar zum Arbeitslosenver- sicherungsgesetz [AVIG], Bd. I [Art. 1-58], 1988, N. 5 zu Art. 28 AVIG) infolge Krankheit, Unfall und Schwangerschaft. Sinn und Zweck der Ausnahmeregelung besteht darin, trotz Vermittlungsunfähigkeit und damit an sich fehlender Anspruchsberechtigung Härtefälle zu vermeiden und Lücken im Bereich der "Nahtstellen" zwischen der Arbeitslosenversi- cherung und insbesondere der Kranken- und Unfallversicherung zu schliessen. Im Inte- resse der Verbesserung der sozialen Sicherung Arbeitsloser sollte namentlich bei Krank- heit und Unfall (weiterhin) ein zeitlich limitierter Taggeldanspruch bestehen (BGE 128 V 149 E. 3b S. 155). Gemäss Art. 28 Abs. 1 AVIG (SR 837.0) haben Versicherte, die wegen Krankheit, Unfall oder Schwangerschaft vorübergehend nicht oder nur vermindert arbeits- und vermitt- lungsfähig sind und deshalb die Kontrollvorschriften nicht erfüllen können, Anspruch auf das volle Taggeld, sofern sie die übrigen Anspruchsvoraussetzungen erfüllen. Der An- spruch dauert längstens bis zum 30. Tag nach Beginn der ganzen oder teilweisen Ar- beitsunfähigkeit und ist innerhalb der Rahmenfrist auf 44 Taggelder beschränkt. Um beim Zusammentreffen verschiedener sachlich kongruenter Leistungsansprüche eine Überentschädigung zu verhindern, sieht Art. 28 Abs. 2 AVIG vor, dass Taggelder der Kranken- oder Unfallversicherung, die Erwerbsersatz darstellen, von der Arbeitslo- senentschädigung abgezogen werden. Nach Art. 28 Abs. 2 AVIG werden auch private Krankentaggelder von der Arbeitslosenentschädigung abgezogen (BGE 144 III 136 E. 4 S. 139 ff.; Bundesgerichtsurteil 4A_111/2010 E. 4; vgl. BGE 128 V 176 E. 5 S. 181). Nach Art. 28 Abs. 2 und 4 AVIG ist die Arbeitslosenversicherung subsidiär leistungs- pflichtig zur privaten Versicherung, die den Erwerbsausfall infolge Krankheit deckt (BGE 128 V 176 E. 5 S. 181; ARV 2017 S. 72, 8C_791/2016 E. 2.1.2 mit Hinweis). Der Privat- versicherer ist nicht davon befreit, die vertraglich geschuldeten Leistungen zu erbringen, weil die Arbeitslosenversicherung der versicherten Person im Hinblick auf eine mögliche Kostenübernahme durch die Invalidenversicherung provisorische Vorschüsse ausge- richtet hat (BGE 144 III 136 E. 4 S. 139 ff.). Nach Art. 95 Abs. 1bis AVIG ist eine versicherte Person, die Arbeitslosenentschädigung bezogen hat und später für denselben Zeitraum Renten oder Taggelder der Invaliden- versicherung, der beruflichen Vorsorge, aufgrund des Erwerbsersatzgesetzes vom 25. September 1952, der Militärversicherung, der obligatorischen Unfallversiche-</w:t>
      </w:r>
    </w:p>
    <w:p>
      <w:r>
        <w:t>- 11 - rung, der Krankenversicherung oder gesetzliche Familienzulagen erhält, zur Rückerstat- tung der in diesem Zeitraum bezogenen Arbeitslosentaggelder verpflichtet. In Abwei- chung von Art. 25 Abs. 1 ATSG (SR 830.1) beschränkt sich die Rückforderungssumme auf die Höhe der von den obgenannten Institutionen für denselben Zeitraum ausgerich- teten Leistungen (BGE 142 V 448 E. 2). Nach Art. 69 ATSG darf das Zusammentreffen von Leistungen verschiedener Sozialver- sicherungen nicht zu einer Überentschädigung der berechtigten Person führen. Bei der Berechnung der Überentschädigung werden nur Leistungen gleicher Art und Zweckbe- stimmung berücksichtigt, die der anspruchsberechtigten Person auf Grund des schädi- genden Ereignisses gewährt werden (Abs. 1). Eine Überentschädigung liegt in dem Masse vor, als die gesetzlichen Sozialversicherungsleistungen den wegen des Versi- cherungsfalls mutmasslich entgangenen Verdienst zuzüglich der durch den Versiche- rungsfall verursachten Mehrkosten und allfälliger Einkommenseinbussen von Angehöri- gen übersteigen (Abs. 2). Die Leistungen werden um den Betrag der Überentschädigung gekürzt. Von einer Kürzung ausgeschlossen sind die Renten der AHV und der IV sowie alle Hilflosen- und Integritätsentschädigungen. Bei Kapitalleistungen wird der Renten- wert berücksichtigt (Abs. 3).</w:t>
      </w:r>
    </w:p>
    <w:p>
      <w:r>
        <w:rPr>
          <w:b/>
        </w:rPr>
        <w:t>E. 3.2.2</w:t>
      </w:r>
    </w:p>
    <w:p>
      <w:r>
        <w:t>Der Beschwerdeführer rügt den Beginn der 30-tägigen Frist ab dem 27. Juli 2020. Diesbezüglich verkennt er, dass dieser Fristenbeginn gesetzlich in Art. 28 Abs. 1 AVIG verankert und mit dem Eintritt der Arbeitsunfähigkeit festgelegt ist. Wie sodann oben dargelegt, wird ein allfälliger parallellaufender Taggeldanspruch des Krankentaggeldver- sicherers in dem Sinne mitberücksichtigt als es eine Überentschädigung zu verhindern gilt. Eine Verschiebung des Beginns bis zur Einstellung dieser Taggelder wird nirgends statuiert. Mithin erweist sich die vom 27. Juli 2020 bis zum 25. August 2020 berücksich- tigte Anspruchsdauer als rechtens. Unstrittig ist deren Beschränkung auf 30 Kalender- tage. Hinsichtlich der Berechnung der Arbeitslosenentschädigungen hat die Beschwerdegeg- nerin für den Monat Juli 2020 zurecht ihre erste Abrechnung im Umfang des Zwischen- verdienstes von CHF 116 ergänzt, zumal die nachträgliche Ausrichtung dieses Betrages durch den Arbeitgeber auch vom Beschwerdeführer anerkannt wird. Die Verfügung vom 21. September 2020 trug diesem Umstand vollumfänglich Rechnung, weshalb es keiner Berichtigung mehr bedurfte. In rein formaler Hinsicht weist der Einspracheentscheid vom 9. Februar 2021 einen Verschrieb auf, indem in der Abrechnung zu den 18 Arbeitstagen</w:t>
      </w:r>
    </w:p>
    <w:p>
      <w:r>
        <w:rPr>
          <w:b/>
        </w:rPr>
        <w:t>E. 3.3</w:t>
      </w:r>
    </w:p>
    <w:p>
      <w:r>
        <w:t>Nach dem Gesagten ist der angefochtene Entscheid vom 9. Februar 2021 zu bestä- tigen und die dagegen erhobene Beschwerde abzuweisen. 4. Abgesehen von Ausnahmen, die hier nicht interessieren, sind im Bereich der Arbeitslo- senversicherung keine Gerichtskosten zu erheben (Art. 61 lit. f bis ATSG). Es werden keine Parteientschädigungen ausgerichtet (BGE 123 V 309 E. 10, 118 V 169 E. 7, 112 V 361 E. 6).</w:t>
      </w:r>
    </w:p>
    <w:p>
      <w:r>
        <w:t>Das Kantonsgericht erkennt</w:t>
      </w:r>
    </w:p>
    <w:p>
      <w:r>
        <w:t>1. Die Beschwerde wird abgewiesen. 2. Es werden weder Kosten erhoben noch Parteientschädigungen ausgerichtet.</w:t>
      </w:r>
    </w:p>
    <w:p>
      <w:r>
        <w:t>Sitten, 12. August 2021</w:t>
      </w:r>
    </w:p>
    <w:p>
      <w:r>
        <w:rPr>
          <w:b/>
        </w:rPr>
        <w:t>E. 7</w:t>
      </w:r>
    </w:p>
    <w:p>
      <w:r>
        <w:t>statt richtigerweise 5 Arbeitstage vermerkt wurden. Da jedoch insgesamt richtigerweise</w:t>
      </w:r>
    </w:p>
    <w:p>
      <w:r>
        <w:t>- 12 - 23 Arbeitstage verrechnet wurden, erweist sich die Rückforderung von CHF 93.30 als rechtens. In Bezug auf den Monat August 2020 bringt der Beschwerdeführer in rechnerischer Hin- sicht zurecht keine Einwände vor. Die am 7. September 2020 für den gesamten Monat August bezahlte Kompensationszahlung von CHF 1’306.55 erwies sich nach erfolgter Abrechnung des Krankentaggeldversicherers bis lediglich zum 23. August 2020 und auf- grund der Erschöpfung des Entschädigungsanspruches aus der Arbeitslosenversiche- rung bis zum 25. August 2020 als korrekturbedürftig, womit eine finale Kompensations- zahlung von CHF 684.35 resultiert. Die Rückforderung von CHF 622.20 ist somit rech- tens. Dies trifft auch auf die Abrechnung für den Monat September 2020 zu. Wie diesbezüglich die Beschwerdegegnerin richtig darlegte, entsteht ein Anspruch auf Arbeitslosenent- schädigung erst nach erneuter Vermittlungsfähigkeit, die in casu ab dem 14. September 2020 wieder vorlag. Ein Anspruch wurde damit ab diesem Zeitpunkt begründet und aus- bezahlt. Weitere Darlegungen dazu erübrigen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